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0AE1" w14:textId="590C1B38" w:rsidR="008C098F" w:rsidRPr="008C098F" w:rsidRDefault="008C098F" w:rsidP="008C098F">
      <w:pPr>
        <w:spacing w:before="100" w:beforeAutospacing="1" w:after="100" w:afterAutospacing="1" w:line="240" w:lineRule="atLeast"/>
        <w:jc w:val="center"/>
        <w:rPr>
          <w:rStyle w:val="Textoennegrita"/>
          <w:rFonts w:ascii="Arial" w:hAnsi="Arial" w:cs="Arial"/>
          <w:b w:val="0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98F"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Videoconferencia </w:t>
      </w:r>
      <w:r w:rsidRPr="008C098F">
        <w:rPr>
          <w:rStyle w:val="Textoennegrita"/>
          <w:rFonts w:ascii="Arial" w:hAnsi="Arial" w:cs="Arial"/>
          <w:b w:val="0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“Obligatoriedad en Planes de Igualdad, Protocolo de Acoso + Últimas novedades sobre los ERTES ligados a Formación “</w:t>
      </w:r>
    </w:p>
    <w:p w14:paraId="71A55B88" w14:textId="0D529E14" w:rsidR="008C098F" w:rsidRDefault="008C098F" w:rsidP="008C098F">
      <w:pPr>
        <w:spacing w:before="100" w:beforeAutospacing="1" w:after="100" w:afterAutospacing="1" w:line="240" w:lineRule="atLeast"/>
        <w:jc w:val="both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>Los Planes de Igualdad se han convertido en un asunto imprescindible para las empresas y como consecuencia, también para todos nosotros.</w:t>
      </w:r>
    </w:p>
    <w:p w14:paraId="6FB56451" w14:textId="77777777" w:rsidR="008C098F" w:rsidRDefault="008C098F" w:rsidP="008C098F">
      <w:pPr>
        <w:spacing w:before="100" w:beforeAutospacing="1" w:after="100" w:afterAutospacing="1" w:line="240" w:lineRule="atLeast"/>
        <w:jc w:val="both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> </w:t>
      </w:r>
    </w:p>
    <w:p w14:paraId="1CD677A1" w14:textId="77777777" w:rsidR="008C098F" w:rsidRDefault="008C098F" w:rsidP="008C098F">
      <w:pPr>
        <w:spacing w:before="100" w:beforeAutospacing="1" w:after="100" w:afterAutospacing="1" w:line="240" w:lineRule="atLeast"/>
        <w:jc w:val="both"/>
        <w:rPr>
          <w:sz w:val="32"/>
          <w:szCs w:val="32"/>
        </w:rPr>
      </w:pPr>
      <w:r>
        <w:rPr>
          <w:rStyle w:val="Textoennegrita"/>
          <w:rFonts w:ascii="Arial" w:hAnsi="Arial" w:cs="Arial"/>
          <w:color w:val="3C4858"/>
          <w:sz w:val="32"/>
          <w:szCs w:val="32"/>
        </w:rPr>
        <w:t>Los Protocolos de Acoso ya son obligatorios para todas las empresas</w:t>
      </w:r>
      <w:r>
        <w:rPr>
          <w:rFonts w:ascii="Arial" w:hAnsi="Arial" w:cs="Arial"/>
          <w:color w:val="3C4858"/>
          <w:sz w:val="32"/>
          <w:szCs w:val="32"/>
        </w:rPr>
        <w:t xml:space="preserve"> y en tan solo 5 meses (07/03/2022), </w:t>
      </w:r>
      <w:r>
        <w:rPr>
          <w:rStyle w:val="Textoennegrita"/>
          <w:rFonts w:ascii="Arial" w:hAnsi="Arial" w:cs="Arial"/>
          <w:color w:val="3C4858"/>
          <w:sz w:val="32"/>
          <w:szCs w:val="32"/>
        </w:rPr>
        <w:t xml:space="preserve">los Planes de Igualdad serán imprescindibles para las empresas con más de 50 trabajadores. </w:t>
      </w:r>
      <w:r>
        <w:rPr>
          <w:rFonts w:ascii="Arial" w:hAnsi="Arial" w:cs="Arial"/>
          <w:color w:val="3C4858"/>
          <w:sz w:val="32"/>
          <w:szCs w:val="32"/>
        </w:rPr>
        <w:t xml:space="preserve">Es por ello </w:t>
      </w:r>
      <w:proofErr w:type="gramStart"/>
      <w:r>
        <w:rPr>
          <w:rFonts w:ascii="Arial" w:hAnsi="Arial" w:cs="Arial"/>
          <w:color w:val="3C4858"/>
          <w:sz w:val="32"/>
          <w:szCs w:val="32"/>
        </w:rPr>
        <w:t>que</w:t>
      </w:r>
      <w:proofErr w:type="gramEnd"/>
      <w:r>
        <w:rPr>
          <w:rFonts w:ascii="Arial" w:hAnsi="Arial" w:cs="Arial"/>
          <w:color w:val="3C4858"/>
          <w:sz w:val="32"/>
          <w:szCs w:val="32"/>
        </w:rPr>
        <w:t xml:space="preserve"> debemos ser conocedores de la normativa para poder asesorar correctamente a nuestros clientes. </w:t>
      </w:r>
    </w:p>
    <w:p w14:paraId="6AB82D3C" w14:textId="77777777" w:rsidR="008C098F" w:rsidRDefault="008C098F" w:rsidP="008C098F">
      <w:pPr>
        <w:spacing w:before="100" w:beforeAutospacing="1" w:after="100" w:afterAutospacing="1" w:line="240" w:lineRule="atLeast"/>
        <w:jc w:val="both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 xml:space="preserve">Por otro lado, un tema bastante interesante y de total actualidad son los </w:t>
      </w:r>
      <w:r>
        <w:rPr>
          <w:rStyle w:val="Textoennegrita"/>
          <w:rFonts w:ascii="Arial" w:hAnsi="Arial" w:cs="Arial"/>
          <w:color w:val="3C4858"/>
          <w:sz w:val="32"/>
          <w:szCs w:val="32"/>
        </w:rPr>
        <w:t>incentivos a la formación ligados a los ERTES. </w:t>
      </w:r>
      <w:r>
        <w:rPr>
          <w:rFonts w:ascii="Arial" w:hAnsi="Arial" w:cs="Arial"/>
          <w:color w:val="3C4858"/>
          <w:sz w:val="32"/>
          <w:szCs w:val="32"/>
        </w:rPr>
        <w:t>A partir del 1 de noviembre, las empresas que decidan iniciar o prorrogar un ERTE a sus empleados (hasta el 28 de febrero), podrán ampliar sus exoneraciones a la Seguridad Social hasta un 80% durante estos meses. Esto supone un gran ahorro por empleado en ERTE que decida formars</w:t>
      </w:r>
      <w:r>
        <w:rPr>
          <w:rFonts w:ascii="Arial" w:hAnsi="Arial" w:cs="Arial"/>
          <w:sz w:val="32"/>
          <w:szCs w:val="32"/>
        </w:rPr>
        <w:t>e.</w:t>
      </w:r>
    </w:p>
    <w:p w14:paraId="36AC3728" w14:textId="77777777" w:rsidR="008C098F" w:rsidRDefault="008C098F" w:rsidP="008C098F">
      <w:pPr>
        <w:spacing w:before="100" w:beforeAutospacing="1" w:after="100" w:afterAutospacing="1" w:line="240" w:lineRule="atLeast"/>
        <w:jc w:val="both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>Para tratar mejor ambos temas,</w:t>
      </w:r>
      <w:r>
        <w:rPr>
          <w:rStyle w:val="Textoennegrita"/>
          <w:rFonts w:ascii="Arial" w:hAnsi="Arial" w:cs="Arial"/>
          <w:color w:val="3C4858"/>
          <w:sz w:val="32"/>
          <w:szCs w:val="32"/>
        </w:rPr>
        <w:t xml:space="preserve"> el próximo</w:t>
      </w:r>
      <w:r>
        <w:rPr>
          <w:rStyle w:val="Textoennegrita"/>
          <w:rFonts w:ascii="Arial" w:hAnsi="Arial" w:cs="Arial"/>
          <w:color w:val="3C4858"/>
          <w:sz w:val="32"/>
          <w:szCs w:val="32"/>
          <w:u w:val="single"/>
        </w:rPr>
        <w:t xml:space="preserve"> MARTES 26 DE OCTUBRE</w:t>
      </w:r>
      <w:r>
        <w:rPr>
          <w:rStyle w:val="Textoennegrita"/>
          <w:rFonts w:ascii="Arial" w:hAnsi="Arial" w:cs="Arial"/>
          <w:color w:val="3C4858"/>
          <w:sz w:val="32"/>
          <w:szCs w:val="32"/>
        </w:rPr>
        <w:t xml:space="preserve"> le invitamos a asistir a este </w:t>
      </w:r>
      <w:proofErr w:type="spellStart"/>
      <w:r>
        <w:rPr>
          <w:rStyle w:val="Textoennegrita"/>
          <w:rFonts w:ascii="Arial" w:hAnsi="Arial" w:cs="Arial"/>
          <w:color w:val="3C4858"/>
          <w:sz w:val="32"/>
          <w:szCs w:val="32"/>
        </w:rPr>
        <w:t>webinar</w:t>
      </w:r>
      <w:proofErr w:type="spellEnd"/>
      <w:r>
        <w:rPr>
          <w:rFonts w:ascii="Arial" w:hAnsi="Arial" w:cs="Arial"/>
          <w:color w:val="3C4858"/>
          <w:sz w:val="32"/>
          <w:szCs w:val="32"/>
        </w:rPr>
        <w:t> organizado por el Colegio de Graduados Sociales de Almería y Edutedis, empresa referente a nivel nacional. </w:t>
      </w:r>
    </w:p>
    <w:p w14:paraId="07CCC3A4" w14:textId="77777777" w:rsidR="008C098F" w:rsidRDefault="008C098F" w:rsidP="008C098F">
      <w:pPr>
        <w:spacing w:before="100" w:beforeAutospacing="1" w:after="100" w:afterAutospacing="1" w:line="240" w:lineRule="atLeast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 xml:space="preserve">En el </w:t>
      </w:r>
      <w:proofErr w:type="spellStart"/>
      <w:r>
        <w:rPr>
          <w:rFonts w:ascii="Arial" w:hAnsi="Arial" w:cs="Arial"/>
          <w:color w:val="3C4858"/>
          <w:sz w:val="32"/>
          <w:szCs w:val="32"/>
        </w:rPr>
        <w:t>webinar</w:t>
      </w:r>
      <w:proofErr w:type="spellEnd"/>
      <w:r>
        <w:rPr>
          <w:rFonts w:ascii="Arial" w:hAnsi="Arial" w:cs="Arial"/>
          <w:color w:val="3C4858"/>
          <w:sz w:val="32"/>
          <w:szCs w:val="32"/>
        </w:rPr>
        <w:t xml:space="preserve">, </w:t>
      </w:r>
      <w:r>
        <w:rPr>
          <w:rStyle w:val="Textoennegrita"/>
          <w:rFonts w:ascii="Arial" w:hAnsi="Arial" w:cs="Arial"/>
          <w:color w:val="3C4858"/>
          <w:sz w:val="32"/>
          <w:szCs w:val="32"/>
          <w:u w:val="single"/>
        </w:rPr>
        <w:t>Loreto Panadero</w:t>
      </w:r>
      <w:r>
        <w:rPr>
          <w:rFonts w:ascii="Arial" w:hAnsi="Arial" w:cs="Arial"/>
          <w:color w:val="3C4858"/>
          <w:sz w:val="32"/>
          <w:szCs w:val="32"/>
        </w:rPr>
        <w:t>, responsable del Departamento de Igualdad de Edutedis Consultoría, profundizará en:</w:t>
      </w:r>
    </w:p>
    <w:p w14:paraId="557A1057" w14:textId="77777777" w:rsidR="008C098F" w:rsidRDefault="008C098F" w:rsidP="008C098F">
      <w:pPr>
        <w:numPr>
          <w:ilvl w:val="0"/>
          <w:numId w:val="1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Planes de Igualdad</w:t>
      </w:r>
    </w:p>
    <w:p w14:paraId="46D1C86D" w14:textId="77777777" w:rsidR="008C098F" w:rsidRDefault="008C098F" w:rsidP="008C098F">
      <w:pPr>
        <w:numPr>
          <w:ilvl w:val="0"/>
          <w:numId w:val="2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lastRenderedPageBreak/>
        <w:t>Protocolos de Acoso</w:t>
      </w:r>
    </w:p>
    <w:p w14:paraId="7902C9DF" w14:textId="77777777" w:rsidR="008C098F" w:rsidRDefault="008C098F" w:rsidP="008C098F">
      <w:pPr>
        <w:numPr>
          <w:ilvl w:val="0"/>
          <w:numId w:val="3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Normativas vigentes aplicables</w:t>
      </w:r>
    </w:p>
    <w:p w14:paraId="7B076CC4" w14:textId="77777777" w:rsidR="008C098F" w:rsidRDefault="008C098F" w:rsidP="008C098F">
      <w:pPr>
        <w:numPr>
          <w:ilvl w:val="0"/>
          <w:numId w:val="4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Ventajas de su implantación</w:t>
      </w:r>
    </w:p>
    <w:p w14:paraId="66E485AD" w14:textId="77777777" w:rsidR="008C098F" w:rsidRDefault="008C098F" w:rsidP="008C098F">
      <w:pPr>
        <w:numPr>
          <w:ilvl w:val="0"/>
          <w:numId w:val="5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Sanciones</w:t>
      </w:r>
    </w:p>
    <w:p w14:paraId="67E91C08" w14:textId="77777777" w:rsidR="008C098F" w:rsidRDefault="008C098F" w:rsidP="008C098F">
      <w:pPr>
        <w:numPr>
          <w:ilvl w:val="0"/>
          <w:numId w:val="6"/>
        </w:numPr>
        <w:spacing w:before="100" w:beforeAutospacing="1" w:after="100" w:afterAutospacing="1" w:line="360" w:lineRule="exact"/>
        <w:rPr>
          <w:rFonts w:eastAsia="Times New Roman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Formación en Igualdad</w:t>
      </w:r>
    </w:p>
    <w:p w14:paraId="74E5451B" w14:textId="77777777" w:rsidR="008C098F" w:rsidRDefault="008C098F" w:rsidP="008C098F">
      <w:pPr>
        <w:spacing w:before="100" w:beforeAutospacing="1" w:after="100" w:afterAutospacing="1"/>
        <w:rPr>
          <w:sz w:val="32"/>
          <w:szCs w:val="32"/>
        </w:rPr>
      </w:pPr>
      <w:r>
        <w:rPr>
          <w:rFonts w:ascii="Arial" w:hAnsi="Arial" w:cs="Arial"/>
          <w:color w:val="3C4858"/>
          <w:sz w:val="32"/>
          <w:szCs w:val="32"/>
        </w:rPr>
        <w:t xml:space="preserve">Por otro lado, </w:t>
      </w:r>
      <w:r>
        <w:rPr>
          <w:rStyle w:val="Textoennegrita"/>
          <w:rFonts w:ascii="Arial" w:hAnsi="Arial" w:cs="Arial"/>
          <w:color w:val="3C4858"/>
          <w:sz w:val="32"/>
          <w:szCs w:val="32"/>
          <w:u w:val="single"/>
        </w:rPr>
        <w:t>Eduardo Sánchez</w:t>
      </w:r>
      <w:r>
        <w:rPr>
          <w:rFonts w:ascii="Arial" w:hAnsi="Arial" w:cs="Arial"/>
          <w:color w:val="3C4858"/>
          <w:sz w:val="32"/>
          <w:szCs w:val="32"/>
        </w:rPr>
        <w:t>, técnico experto en Formación Programada en Edutedis Formación, hablará sobre los incentivos a la formación para empleados en ERTE: </w:t>
      </w:r>
    </w:p>
    <w:p w14:paraId="1A9913B9" w14:textId="77777777" w:rsidR="008C098F" w:rsidRDefault="008C098F" w:rsidP="008C098F">
      <w:pPr>
        <w:numPr>
          <w:ilvl w:val="0"/>
          <w:numId w:val="7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Objetivos de la implantación de la medida</w:t>
      </w:r>
    </w:p>
    <w:p w14:paraId="7D965DDF" w14:textId="77777777" w:rsidR="008C098F" w:rsidRDefault="008C098F" w:rsidP="008C098F">
      <w:pPr>
        <w:numPr>
          <w:ilvl w:val="0"/>
          <w:numId w:val="8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Formaciones disponibles</w:t>
      </w:r>
    </w:p>
    <w:p w14:paraId="0C9C20A9" w14:textId="77777777" w:rsidR="008C098F" w:rsidRDefault="008C098F" w:rsidP="008C098F">
      <w:pPr>
        <w:numPr>
          <w:ilvl w:val="0"/>
          <w:numId w:val="9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Duración de la formación</w:t>
      </w:r>
    </w:p>
    <w:p w14:paraId="5C9DB58E" w14:textId="77777777" w:rsidR="008C098F" w:rsidRDefault="008C098F" w:rsidP="008C098F">
      <w:pPr>
        <w:numPr>
          <w:ilvl w:val="0"/>
          <w:numId w:val="10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Ahorro económico para las empresas</w:t>
      </w:r>
    </w:p>
    <w:p w14:paraId="294AF156" w14:textId="77777777" w:rsidR="008C098F" w:rsidRDefault="008C098F" w:rsidP="008C098F">
      <w:pPr>
        <w:numPr>
          <w:ilvl w:val="0"/>
          <w:numId w:val="11"/>
        </w:numPr>
        <w:spacing w:before="100" w:beforeAutospacing="1" w:after="100" w:afterAutospacing="1" w:line="360" w:lineRule="exact"/>
        <w:rPr>
          <w:rFonts w:eastAsia="Times New Roman"/>
          <w:color w:val="3C4858"/>
          <w:sz w:val="32"/>
          <w:szCs w:val="32"/>
        </w:rPr>
      </w:pPr>
      <w:r>
        <w:rPr>
          <w:rFonts w:ascii="Arial" w:eastAsia="Times New Roman" w:hAnsi="Arial" w:cs="Arial"/>
          <w:color w:val="3C4858"/>
          <w:sz w:val="32"/>
          <w:szCs w:val="32"/>
        </w:rPr>
        <w:t>Quién y cómo costea la formación</w:t>
      </w:r>
    </w:p>
    <w:p w14:paraId="08E12B9A" w14:textId="77777777" w:rsidR="00C6150F" w:rsidRDefault="00C6150F"/>
    <w:sectPr w:rsidR="00C6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B7"/>
    <w:multiLevelType w:val="multilevel"/>
    <w:tmpl w:val="CA5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C3506"/>
    <w:multiLevelType w:val="multilevel"/>
    <w:tmpl w:val="F03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40EA7"/>
    <w:multiLevelType w:val="multilevel"/>
    <w:tmpl w:val="7FD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672B8"/>
    <w:multiLevelType w:val="multilevel"/>
    <w:tmpl w:val="970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3717E"/>
    <w:multiLevelType w:val="multilevel"/>
    <w:tmpl w:val="5F9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238BB"/>
    <w:multiLevelType w:val="multilevel"/>
    <w:tmpl w:val="416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60582"/>
    <w:multiLevelType w:val="multilevel"/>
    <w:tmpl w:val="0D8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675C6"/>
    <w:multiLevelType w:val="multilevel"/>
    <w:tmpl w:val="EBD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743CD"/>
    <w:multiLevelType w:val="multilevel"/>
    <w:tmpl w:val="B89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547354"/>
    <w:multiLevelType w:val="multilevel"/>
    <w:tmpl w:val="40B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5D2FBF"/>
    <w:multiLevelType w:val="multilevel"/>
    <w:tmpl w:val="F59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E"/>
    <w:rsid w:val="0051121E"/>
    <w:rsid w:val="008C098F"/>
    <w:rsid w:val="00C6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27A"/>
  <w15:chartTrackingRefBased/>
  <w15:docId w15:val="{29CE57D5-336B-4AF5-B53C-87BE807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8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2021-10-20T07:19:00Z</dcterms:created>
  <dcterms:modified xsi:type="dcterms:W3CDTF">2021-10-20T07:21:00Z</dcterms:modified>
</cp:coreProperties>
</file>